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3A8" w:rsidRDefault="002203A8">
      <w:pPr>
        <w:rPr>
          <w:lang w:val="en-US"/>
        </w:rPr>
      </w:pPr>
      <w:r>
        <w:rPr>
          <w:lang w:val="en-US"/>
        </w:rPr>
        <w:t xml:space="preserve">Gas Counter Heavy Duty Griddles </w:t>
      </w:r>
    </w:p>
    <w:p w:rsidR="002203A8" w:rsidRDefault="002203A8">
      <w:pPr>
        <w:rPr>
          <w:lang w:val="en-US"/>
        </w:rPr>
      </w:pPr>
    </w:p>
    <w:p w:rsidR="002203A8" w:rsidRDefault="002203A8" w:rsidP="002203A8">
      <w:pPr>
        <w:pStyle w:val="NormalWeb"/>
        <w:rPr>
          <w:rFonts w:asciiTheme="majorHAnsi" w:hAnsiTheme="majorHAnsi" w:cstheme="majorHAnsi"/>
        </w:rPr>
      </w:pPr>
      <w:r w:rsidRPr="002203A8">
        <w:rPr>
          <w:rFonts w:asciiTheme="majorHAnsi" w:hAnsiTheme="majorHAnsi" w:cstheme="majorHAnsi"/>
        </w:rPr>
        <w:t xml:space="preserve">Heavy duty gas counter griddles built on welded angle iron frame construction for strength and durability. Removable grease container is provided for easy cleaning. Standard model sizes are 12” (305 mm), 24” (610 mm), 36”(915 mm), 48”(1,219mm), 60” (1,524 mm) and 72”(1,829 mm). All counter models are range match when placed on our equipment stand. </w:t>
      </w:r>
    </w:p>
    <w:p w:rsidR="002203A8" w:rsidRDefault="002203A8" w:rsidP="002203A8">
      <w:pPr>
        <w:pStyle w:val="NormalWeb"/>
        <w:rPr>
          <w:rFonts w:asciiTheme="majorHAnsi" w:hAnsiTheme="majorHAnsi" w:cstheme="majorHAnsi"/>
        </w:rPr>
      </w:pPr>
    </w:p>
    <w:p w:rsidR="002203A8" w:rsidRPr="002203A8" w:rsidRDefault="002203A8" w:rsidP="002203A8">
      <w:pPr>
        <w:pStyle w:val="NormalWeb"/>
        <w:rPr>
          <w:rFonts w:asciiTheme="majorHAnsi" w:hAnsiTheme="majorHAnsi" w:cstheme="majorHAnsi"/>
        </w:rPr>
      </w:pPr>
      <w:r>
        <w:rPr>
          <w:rFonts w:asciiTheme="majorHAnsi" w:hAnsiTheme="majorHAnsi" w:cstheme="majorHAnsi"/>
        </w:rPr>
        <w:t xml:space="preserve">Features </w:t>
      </w:r>
      <w:bookmarkStart w:id="0" w:name="_GoBack"/>
      <w:bookmarkEnd w:id="0"/>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position w:val="2"/>
        </w:rPr>
        <w:t xml:space="preserve"> </w:t>
      </w:r>
      <w:r w:rsidRPr="002203A8">
        <w:rPr>
          <w:rFonts w:asciiTheme="majorHAnsi" w:hAnsiTheme="majorHAnsi" w:cstheme="majorHAnsi"/>
        </w:rPr>
        <w:t>5/8” thick, highly polished steel plate.</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rPr>
        <w:t>11/2” (546 mm) working depth.</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position w:val="2"/>
        </w:rPr>
        <w:t xml:space="preserve"> </w:t>
      </w:r>
      <w:r w:rsidRPr="002203A8">
        <w:rPr>
          <w:rFonts w:asciiTheme="majorHAnsi" w:hAnsiTheme="majorHAnsi" w:cstheme="majorHAnsi"/>
        </w:rPr>
        <w:t>4” (101.5 mm) plate rail.</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position w:val="2"/>
        </w:rPr>
        <w:t xml:space="preserve"> </w:t>
      </w:r>
      <w:r w:rsidRPr="002203A8">
        <w:rPr>
          <w:rFonts w:asciiTheme="majorHAnsi" w:hAnsiTheme="majorHAnsi" w:cstheme="majorHAnsi"/>
        </w:rPr>
        <w:t xml:space="preserve">Spatula width – 3 1/8” (79 mm) – grease trough. </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position w:val="2"/>
        </w:rPr>
        <w:t xml:space="preserve"> </w:t>
      </w:r>
      <w:r w:rsidRPr="002203A8">
        <w:rPr>
          <w:rFonts w:asciiTheme="majorHAnsi" w:hAnsiTheme="majorHAnsi" w:cstheme="majorHAnsi"/>
        </w:rPr>
        <w:t xml:space="preserve">One heavy duty steel tube burner per 12” section. </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position w:val="2"/>
        </w:rPr>
        <w:t xml:space="preserve"> </w:t>
      </w:r>
      <w:r w:rsidRPr="002203A8">
        <w:rPr>
          <w:rFonts w:asciiTheme="majorHAnsi" w:hAnsiTheme="majorHAnsi" w:cstheme="majorHAnsi"/>
        </w:rPr>
        <w:t xml:space="preserve">Burner rated at 30,000 BTUs per hour. </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rPr>
        <w:t>Each 12” section is controlled by a manual valv</w:t>
      </w:r>
      <w:r>
        <w:rPr>
          <w:rFonts w:asciiTheme="majorHAnsi" w:hAnsiTheme="majorHAnsi" w:cstheme="majorHAnsi"/>
        </w:rPr>
        <w:t>e</w:t>
      </w:r>
    </w:p>
    <w:p w:rsid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position w:val="2"/>
        </w:rPr>
        <w:t xml:space="preserve"> </w:t>
      </w:r>
      <w:r w:rsidRPr="002203A8">
        <w:rPr>
          <w:rFonts w:asciiTheme="majorHAnsi" w:hAnsiTheme="majorHAnsi" w:cstheme="majorHAnsi"/>
        </w:rPr>
        <w:t>Each 24” section is controlled by a thermosta</w:t>
      </w:r>
      <w:r>
        <w:rPr>
          <w:rFonts w:asciiTheme="majorHAnsi" w:hAnsiTheme="majorHAnsi" w:cstheme="majorHAnsi"/>
        </w:rPr>
        <w:t>t</w:t>
      </w:r>
    </w:p>
    <w:p w:rsidR="002203A8" w:rsidRPr="002203A8" w:rsidRDefault="002203A8" w:rsidP="002203A8">
      <w:pPr>
        <w:pStyle w:val="NormalWeb"/>
        <w:numPr>
          <w:ilvl w:val="0"/>
          <w:numId w:val="1"/>
        </w:numPr>
        <w:rPr>
          <w:rFonts w:asciiTheme="majorHAnsi" w:hAnsiTheme="majorHAnsi" w:cstheme="majorHAnsi"/>
        </w:rPr>
      </w:pPr>
      <w:r w:rsidRPr="002203A8">
        <w:rPr>
          <w:rFonts w:asciiTheme="majorHAnsi" w:hAnsiTheme="majorHAnsi" w:cstheme="majorHAnsi"/>
        </w:rPr>
        <w:t xml:space="preserve">Large capacity grease container with integral lid. </w:t>
      </w:r>
    </w:p>
    <w:p w:rsidR="002203A8" w:rsidRPr="002203A8" w:rsidRDefault="002203A8"/>
    <w:sectPr w:rsidR="002203A8" w:rsidRPr="002203A8" w:rsidSect="0096761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5506C"/>
    <w:multiLevelType w:val="hybridMultilevel"/>
    <w:tmpl w:val="EB36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3A8"/>
    <w:rsid w:val="002203A8"/>
    <w:rsid w:val="00967618"/>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FAA0449"/>
  <w15:chartTrackingRefBased/>
  <w15:docId w15:val="{8DE88D80-460A-AE4C-9200-F9CBF9458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MY"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03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396704">
      <w:bodyDiv w:val="1"/>
      <w:marLeft w:val="0"/>
      <w:marRight w:val="0"/>
      <w:marTop w:val="0"/>
      <w:marBottom w:val="0"/>
      <w:divBdr>
        <w:top w:val="none" w:sz="0" w:space="0" w:color="auto"/>
        <w:left w:val="none" w:sz="0" w:space="0" w:color="auto"/>
        <w:bottom w:val="none" w:sz="0" w:space="0" w:color="auto"/>
        <w:right w:val="none" w:sz="0" w:space="0" w:color="auto"/>
      </w:divBdr>
      <w:divsChild>
        <w:div w:id="2110200683">
          <w:marLeft w:val="0"/>
          <w:marRight w:val="0"/>
          <w:marTop w:val="0"/>
          <w:marBottom w:val="0"/>
          <w:divBdr>
            <w:top w:val="none" w:sz="0" w:space="0" w:color="auto"/>
            <w:left w:val="none" w:sz="0" w:space="0" w:color="auto"/>
            <w:bottom w:val="none" w:sz="0" w:space="0" w:color="auto"/>
            <w:right w:val="none" w:sz="0" w:space="0" w:color="auto"/>
          </w:divBdr>
          <w:divsChild>
            <w:div w:id="1546021412">
              <w:marLeft w:val="0"/>
              <w:marRight w:val="0"/>
              <w:marTop w:val="0"/>
              <w:marBottom w:val="0"/>
              <w:divBdr>
                <w:top w:val="none" w:sz="0" w:space="0" w:color="auto"/>
                <w:left w:val="none" w:sz="0" w:space="0" w:color="auto"/>
                <w:bottom w:val="none" w:sz="0" w:space="0" w:color="auto"/>
                <w:right w:val="none" w:sz="0" w:space="0" w:color="auto"/>
              </w:divBdr>
              <w:divsChild>
                <w:div w:id="349725799">
                  <w:marLeft w:val="0"/>
                  <w:marRight w:val="0"/>
                  <w:marTop w:val="0"/>
                  <w:marBottom w:val="0"/>
                  <w:divBdr>
                    <w:top w:val="none" w:sz="0" w:space="0" w:color="auto"/>
                    <w:left w:val="none" w:sz="0" w:space="0" w:color="auto"/>
                    <w:bottom w:val="none" w:sz="0" w:space="0" w:color="auto"/>
                    <w:right w:val="none" w:sz="0" w:space="0" w:color="auto"/>
                  </w:divBdr>
                  <w:divsChild>
                    <w:div w:id="20195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367324">
      <w:bodyDiv w:val="1"/>
      <w:marLeft w:val="0"/>
      <w:marRight w:val="0"/>
      <w:marTop w:val="0"/>
      <w:marBottom w:val="0"/>
      <w:divBdr>
        <w:top w:val="none" w:sz="0" w:space="0" w:color="auto"/>
        <w:left w:val="none" w:sz="0" w:space="0" w:color="auto"/>
        <w:bottom w:val="none" w:sz="0" w:space="0" w:color="auto"/>
        <w:right w:val="none" w:sz="0" w:space="0" w:color="auto"/>
      </w:divBdr>
      <w:divsChild>
        <w:div w:id="378475975">
          <w:marLeft w:val="0"/>
          <w:marRight w:val="0"/>
          <w:marTop w:val="0"/>
          <w:marBottom w:val="0"/>
          <w:divBdr>
            <w:top w:val="none" w:sz="0" w:space="0" w:color="auto"/>
            <w:left w:val="none" w:sz="0" w:space="0" w:color="auto"/>
            <w:bottom w:val="none" w:sz="0" w:space="0" w:color="auto"/>
            <w:right w:val="none" w:sz="0" w:space="0" w:color="auto"/>
          </w:divBdr>
          <w:divsChild>
            <w:div w:id="1428189282">
              <w:marLeft w:val="0"/>
              <w:marRight w:val="0"/>
              <w:marTop w:val="0"/>
              <w:marBottom w:val="0"/>
              <w:divBdr>
                <w:top w:val="none" w:sz="0" w:space="0" w:color="auto"/>
                <w:left w:val="none" w:sz="0" w:space="0" w:color="auto"/>
                <w:bottom w:val="none" w:sz="0" w:space="0" w:color="auto"/>
                <w:right w:val="none" w:sz="0" w:space="0" w:color="auto"/>
              </w:divBdr>
              <w:divsChild>
                <w:div w:id="240913941">
                  <w:marLeft w:val="0"/>
                  <w:marRight w:val="0"/>
                  <w:marTop w:val="0"/>
                  <w:marBottom w:val="0"/>
                  <w:divBdr>
                    <w:top w:val="none" w:sz="0" w:space="0" w:color="auto"/>
                    <w:left w:val="none" w:sz="0" w:space="0" w:color="auto"/>
                    <w:bottom w:val="none" w:sz="0" w:space="0" w:color="auto"/>
                    <w:right w:val="none" w:sz="0" w:space="0" w:color="auto"/>
                  </w:divBdr>
                  <w:divsChild>
                    <w:div w:id="19631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Ann Yap</dc:creator>
  <cp:keywords/>
  <dc:description/>
  <cp:lastModifiedBy>Jia Ann Yap</cp:lastModifiedBy>
  <cp:revision>1</cp:revision>
  <dcterms:created xsi:type="dcterms:W3CDTF">2019-03-15T13:16:00Z</dcterms:created>
  <dcterms:modified xsi:type="dcterms:W3CDTF">2019-03-15T13:17:00Z</dcterms:modified>
</cp:coreProperties>
</file>